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09B44541" w:rsidR="009E533B" w:rsidRPr="005D2C6C" w:rsidRDefault="00E24709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Абдыкадыров</w:t>
      </w:r>
      <w:r w:rsidR="005D2C6C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М</w:t>
      </w:r>
      <w:r w:rsidR="005D2C6C" w:rsidRPr="00911877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 xml:space="preserve"> Ж</w:t>
      </w:r>
      <w:r w:rsidR="00594C9D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4273C236" w14:textId="71CF5EE1" w:rsidR="009E533B" w:rsidRDefault="00415E36" w:rsidP="006F190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</w:t>
      </w:r>
      <w:r w:rsidR="00E24709">
        <w:rPr>
          <w:bCs/>
          <w:sz w:val="24"/>
          <w:szCs w:val="24"/>
          <w:lang w:val="ky-KG" w:eastAsia="ky-KG"/>
        </w:rPr>
        <w:t>ылышбеков У</w:t>
      </w:r>
      <w:r w:rsidR="00E24709" w:rsidRPr="00AC5D6E">
        <w:rPr>
          <w:bCs/>
          <w:sz w:val="24"/>
          <w:szCs w:val="24"/>
          <w:lang w:eastAsia="ky-KG"/>
        </w:rPr>
        <w:t>.</w:t>
      </w:r>
      <w:r w:rsidR="00E24709">
        <w:rPr>
          <w:bCs/>
          <w:sz w:val="24"/>
          <w:szCs w:val="24"/>
          <w:lang w:val="ky-KG" w:eastAsia="ky-KG"/>
        </w:rPr>
        <w:t>Р</w:t>
      </w:r>
      <w:r w:rsidRPr="00695CB4">
        <w:rPr>
          <w:bCs/>
          <w:sz w:val="24"/>
          <w:szCs w:val="24"/>
          <w:lang w:eastAsia="ky-KG"/>
        </w:rPr>
        <w:t>.</w:t>
      </w:r>
      <w:r w:rsidR="005A33E9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</w:t>
      </w:r>
      <w:r w:rsidR="006F1901" w:rsidRPr="008D06C5">
        <w:rPr>
          <w:bCs/>
          <w:sz w:val="24"/>
          <w:szCs w:val="24"/>
          <w:lang w:eastAsia="ky-KG"/>
        </w:rPr>
        <w:t>___</w:t>
      </w:r>
    </w:p>
    <w:p w14:paraId="7E11D4BF" w14:textId="5E451426" w:rsidR="00E24709" w:rsidRPr="008D06C5" w:rsidRDefault="00E24709" w:rsidP="00E24709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Самудин уулу Н</w:t>
      </w:r>
      <w:r w:rsidRPr="00695CB4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eastAsia="ky-KG"/>
        </w:rPr>
        <w:tab/>
      </w:r>
      <w:r w:rsidRPr="005D2C6C">
        <w:rPr>
          <w:bCs/>
          <w:sz w:val="24"/>
          <w:szCs w:val="24"/>
          <w:lang w:eastAsia="ky-KG"/>
        </w:rPr>
        <w:t>__________</w:t>
      </w:r>
      <w:r w:rsidRPr="008D06C5">
        <w:rPr>
          <w:bCs/>
          <w:sz w:val="24"/>
          <w:szCs w:val="24"/>
          <w:lang w:eastAsia="ky-KG"/>
        </w:rPr>
        <w:t>___</w:t>
      </w:r>
    </w:p>
    <w:p w14:paraId="3B77CD75" w14:textId="08C965C1" w:rsidR="00E24709" w:rsidRPr="008D06C5" w:rsidRDefault="00E24709" w:rsidP="00E24709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Дженалиев Б</w:t>
      </w:r>
      <w:r w:rsidRPr="00E2470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К</w:t>
      </w:r>
      <w:r w:rsidRPr="00695CB4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eastAsia="ky-KG"/>
        </w:rPr>
        <w:tab/>
      </w:r>
      <w:r w:rsidRPr="005D2C6C">
        <w:rPr>
          <w:bCs/>
          <w:sz w:val="24"/>
          <w:szCs w:val="24"/>
          <w:lang w:eastAsia="ky-KG"/>
        </w:rPr>
        <w:t>__________</w:t>
      </w:r>
      <w:r w:rsidRPr="008D06C5">
        <w:rPr>
          <w:bCs/>
          <w:sz w:val="24"/>
          <w:szCs w:val="24"/>
          <w:lang w:eastAsia="ky-KG"/>
        </w:rPr>
        <w:t>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5A93300B" w14:textId="7CBAE11F" w:rsidR="009E533B" w:rsidRDefault="00436735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bookmarkStart w:id="0" w:name="_Hlk110253822"/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</w:t>
      </w:r>
      <w:r w:rsidR="003913EC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Поставка сортового металлопроката для изготовления металлических конструкций деривационного водовода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p w14:paraId="4022BAFD" w14:textId="6D774F5C" w:rsidR="003913EC" w:rsidRDefault="003913EC" w:rsidP="003913EC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2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</w:t>
      </w: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Поставка толстолистового проката для изготовления металлических конструкций деривационного водовода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p w14:paraId="1706AAFC" w14:textId="2F7BDE3F" w:rsidR="006F1901" w:rsidRPr="006F1901" w:rsidRDefault="003913EC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№3 - Поставка толстолистового проката для изготовления металлических конструкций деривационного водовода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  <w:bookmarkEnd w:id="0"/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77777777" w:rsidR="009E533B" w:rsidRDefault="009E533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1CEFAB96" w14:textId="66D694FB" w:rsidR="000D394B" w:rsidRPr="000D394B" w:rsidRDefault="000D394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>Лот №1 – Поставка сортового металлопроката для изготовления металлических конструкций деривационного водовода</w:t>
            </w: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14:paraId="31965DC1" w14:textId="77777777" w:rsidR="000D394B" w:rsidRPr="000D394B" w:rsidRDefault="000D394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>Лот №2 – Поставка толстолистового проката для изготовления металлических конструкций деривационного водовода</w:t>
            </w: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14:paraId="70977ACB" w14:textId="148A1F4A" w:rsidR="000D394B" w:rsidRDefault="000D394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>Лот №3 - Поставка толстолистового проката для изготовления металлических конструкций деривационного водовода</w:t>
            </w:r>
            <w:r w:rsidRPr="000D394B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436F216C" w14:textId="18AFA356" w:rsidR="00674E64" w:rsidRPr="005E5723" w:rsidRDefault="005E5723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Для малой гидроэлектростанции в селе </w:t>
            </w: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«Бала-</w:t>
            </w:r>
            <w:proofErr w:type="spellStart"/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Саруу</w:t>
            </w:r>
            <w:proofErr w:type="spellEnd"/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» при Кировском водохранилище</w:t>
            </w:r>
            <w:r w:rsidRPr="005E5723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,</w:t>
            </w: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Манасского района</w:t>
            </w:r>
            <w:r w:rsidRPr="005E5723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,</w:t>
            </w:r>
            <w:r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Таласской области</w:t>
            </w:r>
            <w:r w:rsidRPr="005E5723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6521C98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года(</w:t>
            </w:r>
            <w:proofErr w:type="gramEnd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предоставить подтверждающие документы).</w:t>
            </w:r>
          </w:p>
          <w:p w14:paraId="1506B3CC" w14:textId="398C7475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77777777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56823456" w:rsidR="004F67B6" w:rsidRPr="004F67B6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lastRenderedPageBreak/>
              <w:t>9</w:t>
            </w:r>
            <w:r w:rsidRPr="004F67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70E6B6DC" w:rsidR="0039296F" w:rsidRPr="00CF307D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г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Бишкек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ж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>/</w:t>
            </w:r>
            <w:r w:rsidR="005E572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д станция</w:t>
            </w:r>
            <w:r w:rsidR="005E5723" w:rsidRPr="005E5723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. 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5E5723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CPT</w:t>
            </w:r>
            <w:r w:rsidR="00090677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(</w:t>
            </w:r>
            <w:r w:rsidR="00077663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в термииологии Инкотермс-2020</w:t>
            </w:r>
            <w:r w:rsidR="005E5723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)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  <w:r w:rsidR="00CF307D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B207F2" w:rsidRPr="004F67B6" w14:paraId="7C95D262" w14:textId="77777777" w:rsidTr="005B0B6C">
        <w:tc>
          <w:tcPr>
            <w:tcW w:w="992" w:type="dxa"/>
          </w:tcPr>
          <w:p w14:paraId="152D6507" w14:textId="2DEE2DFE" w:rsidR="00B207F2" w:rsidRPr="00B207F2" w:rsidRDefault="00B207F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9898A93" w14:textId="6CE581FC" w:rsidR="00B207F2" w:rsidRPr="00B207F2" w:rsidRDefault="00B207F2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Сопутствующие услуги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транспортировка и разгрузка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6AB357" w14:textId="77777777" w:rsidR="00674E64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D14BA5">
              <w:rPr>
                <w:b/>
                <w:sz w:val="24"/>
                <w:szCs w:val="24"/>
                <w:lang w:val="ky-KG"/>
              </w:rPr>
              <w:t>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D14BA5">
              <w:rPr>
                <w:b/>
                <w:sz w:val="24"/>
                <w:szCs w:val="24"/>
                <w:lang w:val="ky-KG"/>
              </w:rPr>
              <w:t>шестьдесят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  <w:p w14:paraId="7F34B71C" w14:textId="77777777" w:rsidR="005E5723" w:rsidRDefault="005E5723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Pr="009C652B">
              <w:rPr>
                <w:bCs/>
                <w:sz w:val="24"/>
                <w:szCs w:val="24"/>
              </w:rPr>
              <w:t xml:space="preserve"> </w:t>
            </w:r>
            <w:r w:rsidRPr="009C652B">
              <w:rPr>
                <w:bCs/>
                <w:sz w:val="24"/>
                <w:szCs w:val="24"/>
                <w:lang w:val="ky-KG"/>
              </w:rPr>
              <w:t>по лоту №</w:t>
            </w:r>
            <w:r w:rsidRPr="005E5723">
              <w:rPr>
                <w:bCs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ky-KG"/>
              </w:rPr>
              <w:t xml:space="preserve"> - 60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ky-KG"/>
              </w:rPr>
              <w:t>шестьдесят) календарных дней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  <w:p w14:paraId="245BC645" w14:textId="1CB86234" w:rsidR="00B27294" w:rsidRPr="00695CB4" w:rsidRDefault="00B27294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Pr="009C652B">
              <w:rPr>
                <w:bCs/>
                <w:sz w:val="24"/>
                <w:szCs w:val="24"/>
              </w:rPr>
              <w:t xml:space="preserve"> </w:t>
            </w:r>
            <w:r w:rsidRPr="009C652B">
              <w:rPr>
                <w:bCs/>
                <w:sz w:val="24"/>
                <w:szCs w:val="24"/>
                <w:lang w:val="ky-KG"/>
              </w:rPr>
              <w:t>по лоту №</w:t>
            </w:r>
            <w:r>
              <w:rPr>
                <w:bCs/>
                <w:sz w:val="24"/>
                <w:szCs w:val="24"/>
                <w:lang w:val="ky-KG"/>
              </w:rPr>
              <w:t>3</w:t>
            </w:r>
            <w:r>
              <w:rPr>
                <w:b/>
                <w:sz w:val="24"/>
                <w:szCs w:val="24"/>
                <w:lang w:val="ky-KG"/>
              </w:rPr>
              <w:t xml:space="preserve"> - 60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ky-KG"/>
              </w:rPr>
              <w:t>шестьдесят) календарных дней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68E39B50" w14:textId="01D6CC50" w:rsidR="009E533B" w:rsidRDefault="00CF307D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Поставщиком предос</w:t>
            </w:r>
            <w:r w:rsidR="00AB147B">
              <w:rPr>
                <w:rFonts w:eastAsia="Calibri"/>
                <w:sz w:val="24"/>
                <w:szCs w:val="22"/>
                <w:lang w:val="ky-KG" w:eastAsia="en-US"/>
              </w:rPr>
              <w:t>тавляется</w:t>
            </w:r>
            <w:r w:rsidR="00AB147B"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Сертификат соответствия товара в стране производителя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Паспорт товара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</w:t>
            </w:r>
            <w:r w:rsidR="00B27294">
              <w:rPr>
                <w:rFonts w:eastAsia="Calibri"/>
                <w:sz w:val="24"/>
                <w:szCs w:val="22"/>
                <w:lang w:val="ky-KG" w:eastAsia="en-US"/>
              </w:rPr>
              <w:t xml:space="preserve">Сертификат происхождения товара по форме СТ-1. 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Другие материалы и приложения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14:paraId="533077C8" w14:textId="50C31A79" w:rsidR="00CF307D" w:rsidRPr="00AB147B" w:rsidRDefault="00AB147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Упаковка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стандартная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-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заводская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,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предотвращающая повреждение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41924562" w:rsidR="009E533B" w:rsidRPr="00695CB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50%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="00695CB4"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18B08D9A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B27294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19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090677" w:rsidRPr="00090677">
              <w:rPr>
                <w:b/>
                <w:bCs/>
                <w:color w:val="000000"/>
                <w:spacing w:val="-2"/>
                <w:sz w:val="24"/>
                <w:szCs w:val="24"/>
              </w:rPr>
              <w:t>8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B27294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B27294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3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34DD791B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="00FA46F9">
              <w:rPr>
                <w:b/>
                <w:bCs/>
                <w:sz w:val="24"/>
                <w:szCs w:val="24"/>
                <w:lang w:val="ky-KG"/>
              </w:rPr>
              <w:t>транспортировки и таможенных платежей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3829FFE7" w14:textId="0875A06E" w:rsidR="00674E64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По лоту №1 –</w:t>
            </w:r>
            <w:r w:rsidR="000D394B">
              <w:rPr>
                <w:b/>
                <w:bCs/>
                <w:sz w:val="24"/>
                <w:szCs w:val="24"/>
                <w:lang w:val="ky-KG"/>
              </w:rPr>
              <w:t xml:space="preserve"> 62</w:t>
            </w:r>
            <w:r w:rsidR="000D394B" w:rsidRPr="000D394B">
              <w:rPr>
                <w:b/>
                <w:bCs/>
                <w:sz w:val="24"/>
                <w:szCs w:val="24"/>
              </w:rPr>
              <w:t>5</w:t>
            </w:r>
            <w:r w:rsidR="000D394B">
              <w:rPr>
                <w:b/>
                <w:bCs/>
                <w:sz w:val="24"/>
                <w:szCs w:val="24"/>
                <w:lang w:val="ky-KG"/>
              </w:rPr>
              <w:t xml:space="preserve"> 000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  <w:lang w:val="ky-KG"/>
              </w:rPr>
              <w:t>(ш</w:t>
            </w:r>
            <w:r w:rsidR="000D394B">
              <w:rPr>
                <w:b/>
                <w:bCs/>
                <w:spacing w:val="-2"/>
                <w:sz w:val="24"/>
                <w:szCs w:val="24"/>
                <w:lang w:val="ky-KG"/>
              </w:rPr>
              <w:t>естьсот двадцать</w:t>
            </w:r>
            <w:r w:rsidR="000D394B" w:rsidRPr="000D394B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0D394B">
              <w:rPr>
                <w:b/>
                <w:bCs/>
                <w:spacing w:val="-2"/>
                <w:sz w:val="24"/>
                <w:szCs w:val="24"/>
                <w:lang w:val="ky-KG"/>
              </w:rPr>
              <w:t>тысяч)</w:t>
            </w:r>
            <w:r w:rsidR="008D06C5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  <w:lang w:val="ky-KG"/>
              </w:rPr>
              <w:t>сом</w:t>
            </w:r>
            <w:r w:rsidR="000D394B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</w:t>
            </w:r>
            <w:r w:rsidR="00E24709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или </w:t>
            </w:r>
            <w:bookmarkStart w:id="1" w:name="_Hlk111453992"/>
            <w:r w:rsidR="00E24709">
              <w:rPr>
                <w:b/>
                <w:bCs/>
                <w:spacing w:val="-2"/>
                <w:sz w:val="24"/>
                <w:szCs w:val="24"/>
                <w:lang w:val="ky-KG"/>
              </w:rPr>
              <w:t>126 569,4 (сто двадцать шесть тысяч пятьсот шестьдесят девять сом сорок тыйын)</w:t>
            </w:r>
            <w:r w:rsidR="00B27294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за тонну</w:t>
            </w:r>
            <w:r w:rsidR="00E24709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</w:t>
            </w:r>
            <w:r w:rsidR="000D394B">
              <w:rPr>
                <w:b/>
                <w:bCs/>
                <w:spacing w:val="-2"/>
                <w:sz w:val="24"/>
                <w:szCs w:val="24"/>
                <w:lang w:val="ky-KG"/>
              </w:rPr>
              <w:t>с учетом НДС и прочих платежей</w:t>
            </w:r>
            <w:r w:rsidR="000D394B" w:rsidRPr="000D394B">
              <w:rPr>
                <w:b/>
                <w:bCs/>
                <w:spacing w:val="-2"/>
                <w:sz w:val="24"/>
                <w:szCs w:val="24"/>
              </w:rPr>
              <w:t>.</w:t>
            </w:r>
          </w:p>
          <w:bookmarkEnd w:id="1"/>
          <w:p w14:paraId="3E6D7992" w14:textId="70737329" w:rsidR="002C4F4D" w:rsidRDefault="002C4F4D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ky-KG"/>
              </w:rPr>
              <w:t>По лоту №2 –</w:t>
            </w:r>
            <w:r w:rsidR="00AC5D6E" w:rsidRPr="00AC5D6E">
              <w:rPr>
                <w:b/>
                <w:bCs/>
                <w:sz w:val="24"/>
                <w:szCs w:val="24"/>
                <w:lang w:val="ky-KG"/>
              </w:rPr>
              <w:t>68 778 462,6 (шестьдесят восемь миллионов семьсот семьдесят восемь тысяч четыреста шестьдесят два сома шестьдесят тыйын)</w:t>
            </w:r>
            <w:r w:rsidR="00624328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сом с НДС – 0% и </w:t>
            </w:r>
            <w:r w:rsidR="00624328">
              <w:rPr>
                <w:b/>
                <w:bCs/>
                <w:spacing w:val="-2"/>
                <w:sz w:val="24"/>
                <w:szCs w:val="24"/>
                <w:lang w:val="ky-KG"/>
              </w:rPr>
              <w:lastRenderedPageBreak/>
              <w:t>транспортировкой</w:t>
            </w:r>
            <w:r w:rsidR="007B7DDD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или </w:t>
            </w:r>
            <w:r w:rsidR="00AC5D6E">
              <w:rPr>
                <w:b/>
                <w:bCs/>
                <w:spacing w:val="-2"/>
                <w:sz w:val="24"/>
                <w:szCs w:val="24"/>
                <w:lang w:val="ky-KG"/>
              </w:rPr>
              <w:t>92</w:t>
            </w:r>
            <w:r w:rsidR="007B7DDD">
              <w:rPr>
                <w:b/>
                <w:bCs/>
                <w:spacing w:val="-2"/>
                <w:sz w:val="24"/>
                <w:szCs w:val="24"/>
                <w:lang w:val="ky-KG"/>
              </w:rPr>
              <w:t> </w:t>
            </w:r>
            <w:r w:rsidR="00AC5D6E">
              <w:rPr>
                <w:b/>
                <w:bCs/>
                <w:spacing w:val="-2"/>
                <w:sz w:val="24"/>
                <w:szCs w:val="24"/>
                <w:lang w:val="ky-KG"/>
              </w:rPr>
              <w:t>892</w:t>
            </w:r>
            <w:r w:rsidR="007B7DDD">
              <w:rPr>
                <w:b/>
                <w:bCs/>
                <w:spacing w:val="-2"/>
                <w:sz w:val="24"/>
                <w:szCs w:val="24"/>
                <w:lang w:val="ky-KG"/>
              </w:rPr>
              <w:t>,</w:t>
            </w:r>
            <w:r w:rsidR="00AC5D6E">
              <w:rPr>
                <w:b/>
                <w:bCs/>
                <w:spacing w:val="-2"/>
                <w:sz w:val="24"/>
                <w:szCs w:val="24"/>
                <w:lang w:val="ky-KG"/>
              </w:rPr>
              <w:t>15</w:t>
            </w:r>
            <w:r w:rsidR="007B7DDD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</w:t>
            </w:r>
            <w:r w:rsidR="00AC5D6E" w:rsidRPr="00AC5D6E">
              <w:rPr>
                <w:b/>
                <w:bCs/>
                <w:sz w:val="24"/>
                <w:szCs w:val="24"/>
                <w:lang w:val="ky-KG"/>
              </w:rPr>
              <w:t>(девяносто две тысячи восемьсот девяносто два сома пятнадцать тысяч) сомов</w:t>
            </w:r>
            <w:r w:rsidR="00AC5D6E">
              <w:rPr>
                <w:b/>
                <w:bCs/>
                <w:sz w:val="24"/>
                <w:szCs w:val="24"/>
                <w:lang w:val="ky-KG"/>
              </w:rPr>
              <w:t xml:space="preserve"> за тонну</w:t>
            </w:r>
            <w:r w:rsidR="00624328" w:rsidRPr="00624328">
              <w:rPr>
                <w:b/>
                <w:bCs/>
                <w:spacing w:val="-2"/>
                <w:sz w:val="24"/>
                <w:szCs w:val="24"/>
              </w:rPr>
              <w:t>.</w:t>
            </w:r>
          </w:p>
          <w:p w14:paraId="7B338816" w14:textId="6A92401A" w:rsidR="00624328" w:rsidRPr="00E24709" w:rsidRDefault="0062432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ky-KG"/>
              </w:rPr>
              <w:t>По лоту №</w:t>
            </w:r>
            <w:r w:rsidRPr="00624328">
              <w:rPr>
                <w:b/>
                <w:bCs/>
                <w:spacing w:val="-2"/>
                <w:sz w:val="24"/>
                <w:szCs w:val="24"/>
              </w:rPr>
              <w:t>3</w:t>
            </w:r>
            <w:r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– 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</w:rPr>
              <w:t>44 330 418 (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сорок четыре миллиона триста тридцать тысяч четыреста восемнадцать сом) ил 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</w:rPr>
              <w:t>81 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  <w:lang w:val="ky-KG"/>
              </w:rPr>
              <w:t>7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</w:rPr>
              <w:t>46,7 (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  <w:lang w:val="ky-KG"/>
              </w:rPr>
              <w:t>восемьдесят одна тысяча семьсот сорок шесть сом семьдесят тыйын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</w:rPr>
              <w:t>) сом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с доставкой и без учета НДС</w:t>
            </w:r>
            <w:r w:rsidR="00F95256" w:rsidRPr="00F95256">
              <w:rPr>
                <w:b/>
                <w:bCs/>
                <w:spacing w:val="-2"/>
                <w:sz w:val="24"/>
                <w:szCs w:val="24"/>
              </w:rPr>
              <w:t>.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77663"/>
    <w:rsid w:val="00090677"/>
    <w:rsid w:val="00097B51"/>
    <w:rsid w:val="000D394B"/>
    <w:rsid w:val="00174189"/>
    <w:rsid w:val="001C4A02"/>
    <w:rsid w:val="002C4F4D"/>
    <w:rsid w:val="003913EC"/>
    <w:rsid w:val="0039190A"/>
    <w:rsid w:val="0039296F"/>
    <w:rsid w:val="00415E36"/>
    <w:rsid w:val="004232B4"/>
    <w:rsid w:val="00423CA3"/>
    <w:rsid w:val="00436735"/>
    <w:rsid w:val="004B1864"/>
    <w:rsid w:val="004E2587"/>
    <w:rsid w:val="004F67B6"/>
    <w:rsid w:val="00545BC5"/>
    <w:rsid w:val="00594C9D"/>
    <w:rsid w:val="005A33E9"/>
    <w:rsid w:val="005B0B6C"/>
    <w:rsid w:val="005C5D94"/>
    <w:rsid w:val="005D2C6C"/>
    <w:rsid w:val="005E5723"/>
    <w:rsid w:val="00624328"/>
    <w:rsid w:val="00641178"/>
    <w:rsid w:val="006437F7"/>
    <w:rsid w:val="00667C58"/>
    <w:rsid w:val="00674E64"/>
    <w:rsid w:val="00695310"/>
    <w:rsid w:val="00695CB4"/>
    <w:rsid w:val="006B0B6E"/>
    <w:rsid w:val="006E383A"/>
    <w:rsid w:val="006E57D5"/>
    <w:rsid w:val="006F1901"/>
    <w:rsid w:val="00713B1A"/>
    <w:rsid w:val="007B7DDD"/>
    <w:rsid w:val="007D21D9"/>
    <w:rsid w:val="00806704"/>
    <w:rsid w:val="0084302A"/>
    <w:rsid w:val="00891AFE"/>
    <w:rsid w:val="008D06C5"/>
    <w:rsid w:val="00911877"/>
    <w:rsid w:val="0091307D"/>
    <w:rsid w:val="009433D8"/>
    <w:rsid w:val="00991826"/>
    <w:rsid w:val="009C652B"/>
    <w:rsid w:val="009E533B"/>
    <w:rsid w:val="00A205EB"/>
    <w:rsid w:val="00A20994"/>
    <w:rsid w:val="00AB147B"/>
    <w:rsid w:val="00AC5D6E"/>
    <w:rsid w:val="00B207F2"/>
    <w:rsid w:val="00B27294"/>
    <w:rsid w:val="00B425CC"/>
    <w:rsid w:val="00B54872"/>
    <w:rsid w:val="00B8123B"/>
    <w:rsid w:val="00CF307D"/>
    <w:rsid w:val="00D14BA5"/>
    <w:rsid w:val="00D46069"/>
    <w:rsid w:val="00DA126C"/>
    <w:rsid w:val="00E24709"/>
    <w:rsid w:val="00E5229E"/>
    <w:rsid w:val="00EA7FAF"/>
    <w:rsid w:val="00EB3FD0"/>
    <w:rsid w:val="00F27804"/>
    <w:rsid w:val="00F95256"/>
    <w:rsid w:val="00FA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Абсатаров Мухаммед Эмилевич</cp:lastModifiedBy>
  <cp:revision>4</cp:revision>
  <cp:lastPrinted>2022-06-30T09:17:00Z</cp:lastPrinted>
  <dcterms:created xsi:type="dcterms:W3CDTF">2022-08-12T13:34:00Z</dcterms:created>
  <dcterms:modified xsi:type="dcterms:W3CDTF">2022-08-15T06:21:00Z</dcterms:modified>
</cp:coreProperties>
</file>